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167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1672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Kurtz George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CROWDSTRIKE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206 E. 9TH STREET, SUITE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CrowdStrike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160" w:space="655"/>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5"/>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7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234</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690.96</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right"/>
              <w:ind w:right="83"/>
              <w:spacing w:after="0"/>
              <w:rPr>
                <w:sz w:val="20"/>
                <w:szCs w:val="20"/>
                <w:color w:val="auto"/>
              </w:rPr>
            </w:pPr>
            <w:r>
              <w:rPr>
                <w:rFonts w:ascii="Times New Roman" w:cs="Times New Roman" w:eastAsia="Times New Roman" w:hAnsi="Times New Roman"/>
                <w:sz w:val="17"/>
                <w:szCs w:val="17"/>
                <w:color w:val="0000FF"/>
              </w:rPr>
              <w:t>2,082,372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189</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691.84</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right"/>
              <w:ind w:right="83"/>
              <w:spacing w:after="0"/>
              <w:rPr>
                <w:sz w:val="20"/>
                <w:szCs w:val="20"/>
                <w:color w:val="auto"/>
              </w:rPr>
            </w:pPr>
            <w:r>
              <w:rPr>
                <w:rFonts w:ascii="Times New Roman" w:cs="Times New Roman" w:eastAsia="Times New Roman" w:hAnsi="Times New Roman"/>
                <w:sz w:val="17"/>
                <w:szCs w:val="17"/>
                <w:color w:val="0000FF"/>
              </w:rPr>
              <w:t>2,082,183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201</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692.99</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right"/>
              <w:ind w:right="83"/>
              <w:spacing w:after="0"/>
              <w:rPr>
                <w:sz w:val="20"/>
                <w:szCs w:val="20"/>
                <w:color w:val="auto"/>
              </w:rPr>
            </w:pPr>
            <w:r>
              <w:rPr>
                <w:rFonts w:ascii="Times New Roman" w:cs="Times New Roman" w:eastAsia="Times New Roman" w:hAnsi="Times New Roman"/>
                <w:sz w:val="17"/>
                <w:szCs w:val="17"/>
                <w:color w:val="0000FF"/>
              </w:rPr>
              <w:t>2,081,982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197</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694.08</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right"/>
              <w:ind w:right="83"/>
              <w:spacing w:after="0"/>
              <w:rPr>
                <w:sz w:val="20"/>
                <w:szCs w:val="20"/>
                <w:color w:val="auto"/>
              </w:rPr>
            </w:pPr>
            <w:r>
              <w:rPr>
                <w:rFonts w:ascii="Times New Roman" w:cs="Times New Roman" w:eastAsia="Times New Roman" w:hAnsi="Times New Roman"/>
                <w:sz w:val="17"/>
                <w:szCs w:val="17"/>
                <w:color w:val="0000FF"/>
              </w:rPr>
              <w:t>2,081,785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214</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695</w:t>
            </w:r>
            <w:r>
              <w:rPr>
                <w:rFonts w:ascii="Times New Roman" w:cs="Times New Roman" w:eastAsia="Times New Roman" w:hAnsi="Times New Roman"/>
                <w:sz w:val="22"/>
                <w:szCs w:val="22"/>
                <w:color w:val="008000"/>
                <w:w w:val="92"/>
                <w:vertAlign w:val="superscript"/>
              </w:rPr>
              <w:t>(7)</w:t>
            </w:r>
          </w:p>
        </w:tc>
        <w:tc>
          <w:tcPr>
            <w:tcW w:w="1140" w:type="dxa"/>
            <w:vAlign w:val="bottom"/>
            <w:tcBorders>
              <w:bottom w:val="single" w:sz="8" w:color="2C2C2C"/>
            </w:tcBorders>
          </w:tcPr>
          <w:p>
            <w:pPr>
              <w:jc w:val="right"/>
              <w:ind w:right="83"/>
              <w:spacing w:after="0"/>
              <w:rPr>
                <w:sz w:val="20"/>
                <w:szCs w:val="20"/>
                <w:color w:val="auto"/>
              </w:rPr>
            </w:pPr>
            <w:r>
              <w:rPr>
                <w:rFonts w:ascii="Times New Roman" w:cs="Times New Roman" w:eastAsia="Times New Roman" w:hAnsi="Times New Roman"/>
                <w:sz w:val="17"/>
                <w:szCs w:val="17"/>
                <w:color w:val="0000FF"/>
              </w:rPr>
              <w:t>2,081,571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161</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696.05</w:t>
            </w:r>
            <w:r>
              <w:rPr>
                <w:rFonts w:ascii="Times New Roman" w:cs="Times New Roman" w:eastAsia="Times New Roman" w:hAnsi="Times New Roman"/>
                <w:sz w:val="22"/>
                <w:szCs w:val="22"/>
                <w:color w:val="008000"/>
                <w:w w:val="95"/>
                <w:vertAlign w:val="superscript"/>
              </w:rPr>
              <w:t>(8)</w:t>
            </w:r>
          </w:p>
        </w:tc>
        <w:tc>
          <w:tcPr>
            <w:tcW w:w="1140" w:type="dxa"/>
            <w:vAlign w:val="bottom"/>
            <w:tcBorders>
              <w:bottom w:val="single" w:sz="8" w:color="2C2C2C"/>
            </w:tcBorders>
          </w:tcPr>
          <w:p>
            <w:pPr>
              <w:jc w:val="right"/>
              <w:ind w:right="83"/>
              <w:spacing w:after="0"/>
              <w:rPr>
                <w:sz w:val="20"/>
                <w:szCs w:val="20"/>
                <w:color w:val="auto"/>
              </w:rPr>
            </w:pPr>
            <w:r>
              <w:rPr>
                <w:rFonts w:ascii="Times New Roman" w:cs="Times New Roman" w:eastAsia="Times New Roman" w:hAnsi="Times New Roman"/>
                <w:sz w:val="17"/>
                <w:szCs w:val="17"/>
                <w:color w:val="0000FF"/>
              </w:rPr>
              <w:t>2,081,410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2"/>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91</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697.08</w:t>
            </w:r>
            <w:r>
              <w:rPr>
                <w:rFonts w:ascii="Times New Roman" w:cs="Times New Roman" w:eastAsia="Times New Roman" w:hAnsi="Times New Roman"/>
                <w:sz w:val="22"/>
                <w:szCs w:val="22"/>
                <w:color w:val="008000"/>
                <w:w w:val="95"/>
                <w:vertAlign w:val="superscript"/>
              </w:rPr>
              <w:t>(9)</w:t>
            </w:r>
          </w:p>
        </w:tc>
        <w:tc>
          <w:tcPr>
            <w:tcW w:w="1140" w:type="dxa"/>
            <w:vAlign w:val="bottom"/>
            <w:tcBorders>
              <w:bottom w:val="single" w:sz="8" w:color="2C2C2C"/>
            </w:tcBorders>
          </w:tcPr>
          <w:p>
            <w:pPr>
              <w:jc w:val="right"/>
              <w:ind w:right="83"/>
              <w:spacing w:after="0"/>
              <w:rPr>
                <w:sz w:val="20"/>
                <w:szCs w:val="20"/>
                <w:color w:val="auto"/>
              </w:rPr>
            </w:pPr>
            <w:r>
              <w:rPr>
                <w:rFonts w:ascii="Times New Roman" w:cs="Times New Roman" w:eastAsia="Times New Roman" w:hAnsi="Times New Roman"/>
                <w:sz w:val="17"/>
                <w:szCs w:val="17"/>
                <w:color w:val="0000FF"/>
              </w:rPr>
              <w:t>2,081,319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2"/>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26</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698.43</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right"/>
              <w:ind w:right="83"/>
              <w:spacing w:after="0"/>
              <w:rPr>
                <w:sz w:val="20"/>
                <w:szCs w:val="20"/>
                <w:color w:val="auto"/>
              </w:rPr>
            </w:pPr>
            <w:r>
              <w:rPr>
                <w:rFonts w:ascii="Times New Roman" w:cs="Times New Roman" w:eastAsia="Times New Roman" w:hAnsi="Times New Roman"/>
                <w:sz w:val="17"/>
                <w:szCs w:val="17"/>
                <w:color w:val="0000FF"/>
              </w:rPr>
              <w:t>2,081,293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2"/>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91</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700.48</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right"/>
              <w:ind w:right="83"/>
              <w:spacing w:after="0"/>
              <w:rPr>
                <w:sz w:val="20"/>
                <w:szCs w:val="20"/>
                <w:color w:val="auto"/>
              </w:rPr>
            </w:pPr>
            <w:r>
              <w:rPr>
                <w:rFonts w:ascii="Times New Roman" w:cs="Times New Roman" w:eastAsia="Times New Roman" w:hAnsi="Times New Roman"/>
                <w:sz w:val="17"/>
                <w:szCs w:val="17"/>
                <w:color w:val="0000FF"/>
              </w:rPr>
              <w:t>2,081,202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264</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701.5</w:t>
            </w:r>
            <w:r>
              <w:rPr>
                <w:rFonts w:ascii="Times New Roman" w:cs="Times New Roman" w:eastAsia="Times New Roman" w:hAnsi="Times New Roman"/>
                <w:sz w:val="22"/>
                <w:szCs w:val="22"/>
                <w:color w:val="008000"/>
                <w:w w:val="94"/>
                <w:vertAlign w:val="superscript"/>
              </w:rPr>
              <w:t>(12)</w:t>
            </w:r>
          </w:p>
        </w:tc>
        <w:tc>
          <w:tcPr>
            <w:tcW w:w="1140" w:type="dxa"/>
            <w:vAlign w:val="bottom"/>
            <w:tcBorders>
              <w:bottom w:val="single" w:sz="8" w:color="2C2C2C"/>
            </w:tcBorders>
          </w:tcPr>
          <w:p>
            <w:pPr>
              <w:jc w:val="right"/>
              <w:ind w:right="83"/>
              <w:spacing w:after="0"/>
              <w:rPr>
                <w:sz w:val="20"/>
                <w:szCs w:val="20"/>
                <w:color w:val="auto"/>
              </w:rPr>
            </w:pPr>
            <w:r>
              <w:rPr>
                <w:rFonts w:ascii="Times New Roman" w:cs="Times New Roman" w:eastAsia="Times New Roman" w:hAnsi="Times New Roman"/>
                <w:sz w:val="17"/>
                <w:szCs w:val="17"/>
                <w:color w:val="0000FF"/>
              </w:rPr>
              <w:t>2,080,938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2"/>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39</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702.65</w:t>
            </w:r>
            <w:r>
              <w:rPr>
                <w:rFonts w:ascii="Times New Roman" w:cs="Times New Roman" w:eastAsia="Times New Roman" w:hAnsi="Times New Roman"/>
                <w:sz w:val="22"/>
                <w:szCs w:val="22"/>
                <w:color w:val="008000"/>
                <w:w w:val="94"/>
                <w:vertAlign w:val="superscript"/>
              </w:rPr>
              <w:t>(13)</w:t>
            </w:r>
          </w:p>
        </w:tc>
        <w:tc>
          <w:tcPr>
            <w:tcW w:w="1140" w:type="dxa"/>
            <w:vAlign w:val="bottom"/>
            <w:tcBorders>
              <w:bottom w:val="single" w:sz="8" w:color="2C2C2C"/>
            </w:tcBorders>
          </w:tcPr>
          <w:p>
            <w:pPr>
              <w:jc w:val="right"/>
              <w:ind w:right="83"/>
              <w:spacing w:after="0"/>
              <w:rPr>
                <w:sz w:val="20"/>
                <w:szCs w:val="20"/>
                <w:color w:val="auto"/>
              </w:rPr>
            </w:pPr>
            <w:r>
              <w:rPr>
                <w:rFonts w:ascii="Times New Roman" w:cs="Times New Roman" w:eastAsia="Times New Roman" w:hAnsi="Times New Roman"/>
                <w:sz w:val="17"/>
                <w:szCs w:val="17"/>
                <w:color w:val="0000FF"/>
              </w:rPr>
              <w:t>2,080,899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2"/>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13</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703.56</w:t>
            </w:r>
            <w:r>
              <w:rPr>
                <w:rFonts w:ascii="Times New Roman" w:cs="Times New Roman" w:eastAsia="Times New Roman" w:hAnsi="Times New Roman"/>
                <w:sz w:val="22"/>
                <w:szCs w:val="22"/>
                <w:color w:val="008000"/>
                <w:w w:val="94"/>
                <w:vertAlign w:val="superscript"/>
              </w:rPr>
              <w:t>(14)</w:t>
            </w:r>
          </w:p>
        </w:tc>
        <w:tc>
          <w:tcPr>
            <w:tcW w:w="1140" w:type="dxa"/>
            <w:vAlign w:val="bottom"/>
            <w:tcBorders>
              <w:bottom w:val="single" w:sz="8" w:color="2C2C2C"/>
            </w:tcBorders>
          </w:tcPr>
          <w:p>
            <w:pPr>
              <w:jc w:val="right"/>
              <w:ind w:right="83"/>
              <w:spacing w:after="0"/>
              <w:rPr>
                <w:sz w:val="20"/>
                <w:szCs w:val="20"/>
                <w:color w:val="auto"/>
              </w:rPr>
            </w:pPr>
            <w:r>
              <w:rPr>
                <w:rFonts w:ascii="Times New Roman" w:cs="Times New Roman" w:eastAsia="Times New Roman" w:hAnsi="Times New Roman"/>
                <w:sz w:val="17"/>
                <w:szCs w:val="17"/>
                <w:color w:val="0000FF"/>
              </w:rPr>
              <w:t>2,080,886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10b-1 plan adopted on January 6, 2026.</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$690.43 to $691.42.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restricted stock units (RSUs).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$691.44 to $692.26.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$692.53 to $693.52.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$693.53 to $694.47.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$694.54 to $695.63. The price reported above reflects the weighted average sale price. The Reporting Person hereby undertakes</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to provide upon request to the SEC staff, the issuer or a security holder of the issuer full information regarding the number of shares and prices at which the transaction was effected.</w:t>
      </w:r>
    </w:p>
    <w:p>
      <w:pPr>
        <w:spacing w:after="0" w:line="50" w:lineRule="exact"/>
        <w:rPr>
          <w:sz w:val="20"/>
          <w:szCs w:val="20"/>
          <w:color w:val="auto"/>
        </w:rPr>
      </w:pPr>
    </w:p>
    <w:p>
      <w:pPr>
        <w:ind w:right="1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$695.65 to $696.51.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$696.75 to $697.62.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$698.15 to $698.71.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$700.00 to $700.91.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$701.05 to $702.00.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$702.16 to $703.12.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$703.48 to $703.74.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3"/>
          <w:szCs w:val="13"/>
          <w:color w:val="008000"/>
        </w:rPr>
        <w:t>This Form 4 is the second of two Forms 4 being filed by the reporting person relating to transactions that occurred on June 25, 2026 and June 26, 2026 (Transaction Dates). Because there are more than 30 rows associated with the reporting person's transactions that occurred on the Transaction Dates,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3"/>
          <w:szCs w:val="33"/>
          <w:color w:val="0000FF"/>
          <w:vertAlign w:val="subscript"/>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8564"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2026-06-29T20:11:30Z</dcterms:created>
  <dcterms:modified xsi:type="dcterms:W3CDTF">2026-06-29T20:11:30Z</dcterms:modified>
</cp:coreProperties>
</file>